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66" w:rsidRDefault="00737C66" w:rsidP="00737C6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CCFCD7" wp14:editId="490CB5EC">
            <wp:extent cx="49720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66" w:rsidRDefault="00737C66" w:rsidP="00737C6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37C66" w:rsidRDefault="00737C66" w:rsidP="00737C6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37C66" w:rsidRDefault="00737C66" w:rsidP="00737C6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000"/>
      </w:tblGrid>
      <w:tr w:rsidR="00737C66" w:rsidTr="00E6646F">
        <w:tc>
          <w:tcPr>
            <w:tcW w:w="3107" w:type="dxa"/>
          </w:tcPr>
          <w:p w:rsidR="00737C66" w:rsidRDefault="00737C66" w:rsidP="00E6646F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37C66" w:rsidRDefault="00737C66" w:rsidP="00E6646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737C66" w:rsidRDefault="00737C66" w:rsidP="00737C66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02.04.2018                                                                                                   94/578</w:t>
      </w:r>
    </w:p>
    <w:p w:rsidR="00737C66" w:rsidRDefault="00737C66" w:rsidP="00737C66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>
        <w:rPr>
          <w:rFonts w:cs="Times New Roman"/>
          <w:b/>
          <w:lang w:eastAsia="ru-RU"/>
        </w:rPr>
        <w:t>с</w:t>
      </w:r>
      <w:proofErr w:type="gramEnd"/>
      <w:r>
        <w:rPr>
          <w:rFonts w:cs="Times New Roman"/>
          <w:b/>
          <w:lang w:eastAsia="ru-RU"/>
        </w:rPr>
        <w:t>. Михайловка</w:t>
      </w:r>
    </w:p>
    <w:p w:rsidR="00737C66" w:rsidRDefault="00737C66" w:rsidP="00737C66">
      <w:pPr>
        <w:suppressAutoHyphens w:val="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                            </w:t>
      </w:r>
    </w:p>
    <w:p w:rsidR="00737C66" w:rsidRDefault="00737C66" w:rsidP="00737C66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37C66" w:rsidTr="00E6646F">
        <w:tc>
          <w:tcPr>
            <w:tcW w:w="5148" w:type="dxa"/>
            <w:hideMark/>
          </w:tcPr>
          <w:p w:rsidR="00737C66" w:rsidRDefault="00737C66" w:rsidP="00E6646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737C66" w:rsidRDefault="00737C66" w:rsidP="00737C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установлении списка избранных</w:t>
      </w:r>
    </w:p>
    <w:p w:rsidR="00737C66" w:rsidRDefault="00737C66" w:rsidP="00737C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депутатов муниципального комитета</w:t>
      </w:r>
    </w:p>
    <w:p w:rsidR="00737C66" w:rsidRDefault="00737C66" w:rsidP="00737C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</w:p>
    <w:p w:rsidR="00737C66" w:rsidRDefault="00737C66" w:rsidP="00737C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третьего созыва по </w:t>
      </w:r>
      <w:proofErr w:type="spellStart"/>
      <w:r>
        <w:rPr>
          <w:rFonts w:cs="Times New Roman"/>
          <w:sz w:val="28"/>
          <w:szCs w:val="28"/>
        </w:rPr>
        <w:t>десятимандатному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737C66" w:rsidRDefault="00737C66" w:rsidP="00737C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избирательному округу</w:t>
      </w:r>
    </w:p>
    <w:p w:rsidR="00737C66" w:rsidRDefault="00737C66" w:rsidP="00737C66">
      <w:pPr>
        <w:jc w:val="both"/>
        <w:rPr>
          <w:rFonts w:cs="Times New Roman"/>
          <w:sz w:val="28"/>
          <w:szCs w:val="28"/>
        </w:rPr>
      </w:pPr>
    </w:p>
    <w:p w:rsidR="00737C66" w:rsidRDefault="00737C66" w:rsidP="00737C6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На основании решения территориальной избирательной комиссии Михайловского района от 25.03.2018 года №  93/574 «Об определении результатов дополнительных выборов депутатов муниципального комитета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rFonts w:cs="Times New Roman"/>
          <w:sz w:val="28"/>
          <w:szCs w:val="28"/>
        </w:rPr>
        <w:t>десятимандатному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округу», </w:t>
      </w:r>
      <w:proofErr w:type="gramStart"/>
      <w:r>
        <w:rPr>
          <w:rFonts w:cs="Times New Roman"/>
          <w:sz w:val="28"/>
          <w:szCs w:val="28"/>
        </w:rPr>
        <w:t>руководствуясь частью 16 статьи 81 Избирательного кодекса Приморского края территориальная избирательная комиссия Михайловского района</w:t>
      </w:r>
      <w:proofErr w:type="gramEnd"/>
    </w:p>
    <w:p w:rsidR="00737C66" w:rsidRDefault="00737C66" w:rsidP="00737C6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РЕШИЛА:</w:t>
      </w:r>
    </w:p>
    <w:p w:rsidR="00737C66" w:rsidRDefault="00737C66" w:rsidP="00737C6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 Установить  список избранных депутатов муниципального комитета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rFonts w:cs="Times New Roman"/>
          <w:sz w:val="28"/>
          <w:szCs w:val="28"/>
        </w:rPr>
        <w:t>десятимандатному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 (прилагается).</w:t>
      </w:r>
    </w:p>
    <w:p w:rsidR="00737C66" w:rsidRDefault="00737C66" w:rsidP="00737C6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 Направить список избранных депутатов</w:t>
      </w:r>
      <w:r w:rsidRPr="007129F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муниципального комитета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rFonts w:cs="Times New Roman"/>
          <w:sz w:val="28"/>
          <w:szCs w:val="28"/>
        </w:rPr>
        <w:t>десятимандатному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 в муниципальный комитет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737C66" w:rsidRDefault="00737C66" w:rsidP="00737C66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37C66" w:rsidTr="00E6646F">
        <w:tc>
          <w:tcPr>
            <w:tcW w:w="6912" w:type="dxa"/>
            <w:hideMark/>
          </w:tcPr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737C66" w:rsidTr="00E6646F">
        <w:tc>
          <w:tcPr>
            <w:tcW w:w="6912" w:type="dxa"/>
          </w:tcPr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37C66" w:rsidTr="00E6646F">
        <w:tc>
          <w:tcPr>
            <w:tcW w:w="6912" w:type="dxa"/>
            <w:hideMark/>
          </w:tcPr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</w:tcPr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37C66" w:rsidRDefault="00737C66" w:rsidP="00E6646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737C66" w:rsidRDefault="00737C66" w:rsidP="00737C66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   Приложение</w:t>
      </w:r>
    </w:p>
    <w:p w:rsidR="00737C66" w:rsidRDefault="00737C66" w:rsidP="00737C66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 решению </w:t>
      </w:r>
      <w:proofErr w:type="gramStart"/>
      <w:r>
        <w:rPr>
          <w:rFonts w:cs="Times New Roman"/>
          <w:lang w:eastAsia="ru-RU"/>
        </w:rPr>
        <w:t>территориальной</w:t>
      </w:r>
      <w:proofErr w:type="gramEnd"/>
    </w:p>
    <w:p w:rsidR="00737C66" w:rsidRDefault="00737C66" w:rsidP="00737C66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избирательной комиссии</w:t>
      </w:r>
    </w:p>
    <w:p w:rsidR="00737C66" w:rsidRDefault="00737C66" w:rsidP="00737C66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Михайловского района</w:t>
      </w:r>
    </w:p>
    <w:p w:rsidR="00737C66" w:rsidRDefault="00737C66" w:rsidP="00737C66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от 2 апреля   2018 года № 94/578</w:t>
      </w:r>
    </w:p>
    <w:p w:rsidR="00737C66" w:rsidRDefault="00737C66" w:rsidP="00737C66">
      <w:pPr>
        <w:jc w:val="right"/>
        <w:rPr>
          <w:rFonts w:cs="Times New Roman"/>
          <w:lang w:eastAsia="ru-RU"/>
        </w:rPr>
      </w:pPr>
    </w:p>
    <w:p w:rsidR="00737C66" w:rsidRDefault="00737C66" w:rsidP="00737C66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Список</w:t>
      </w:r>
    </w:p>
    <w:p w:rsidR="00737C66" w:rsidRDefault="00737C66" w:rsidP="00737C66">
      <w:pPr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избранных депутатов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</w:t>
      </w:r>
    </w:p>
    <w:p w:rsidR="00737C66" w:rsidRDefault="00737C66" w:rsidP="00737C66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737C66" w:rsidRPr="007129F8" w:rsidRDefault="00737C66" w:rsidP="00737C6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Кочкин Олег Викторович</w:t>
      </w:r>
      <w:r w:rsidRPr="007129F8">
        <w:rPr>
          <w:rFonts w:cs="Times New Roman"/>
          <w:sz w:val="28"/>
          <w:szCs w:val="28"/>
          <w:lang w:eastAsia="ru-RU"/>
        </w:rPr>
        <w:t xml:space="preserve">; </w:t>
      </w:r>
    </w:p>
    <w:p w:rsidR="00737C66" w:rsidRPr="007129F8" w:rsidRDefault="00737C66" w:rsidP="00737C6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Пешеходько Дмитрий Андреевич</w:t>
      </w:r>
      <w:r w:rsidRPr="007129F8">
        <w:rPr>
          <w:rFonts w:cs="Times New Roman"/>
          <w:sz w:val="28"/>
          <w:szCs w:val="28"/>
          <w:lang w:eastAsia="ru-RU"/>
        </w:rPr>
        <w:t>;</w:t>
      </w:r>
    </w:p>
    <w:p w:rsidR="00737C66" w:rsidRPr="007129F8" w:rsidRDefault="00737C66" w:rsidP="00737C6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129F8">
        <w:rPr>
          <w:rFonts w:cs="Times New Roman"/>
          <w:sz w:val="28"/>
          <w:szCs w:val="28"/>
          <w:lang w:eastAsia="ru-RU"/>
        </w:rPr>
        <w:t>- Боч</w:t>
      </w:r>
      <w:r>
        <w:rPr>
          <w:rFonts w:cs="Times New Roman"/>
          <w:sz w:val="28"/>
          <w:szCs w:val="28"/>
          <w:lang w:eastAsia="ru-RU"/>
        </w:rPr>
        <w:t>карев Александр Александрович</w:t>
      </w:r>
      <w:r w:rsidRPr="007129F8">
        <w:rPr>
          <w:rFonts w:cs="Times New Roman"/>
          <w:sz w:val="28"/>
          <w:szCs w:val="28"/>
          <w:lang w:eastAsia="ru-RU"/>
        </w:rPr>
        <w:t>.</w:t>
      </w:r>
    </w:p>
    <w:p w:rsidR="00737C66" w:rsidRDefault="00737C66" w:rsidP="00737C66">
      <w:pPr>
        <w:rPr>
          <w:sz w:val="28"/>
          <w:szCs w:val="28"/>
        </w:rPr>
      </w:pPr>
    </w:p>
    <w:p w:rsidR="00737C66" w:rsidRDefault="00737C66" w:rsidP="00737C66"/>
    <w:p w:rsidR="00737C66" w:rsidRPr="003F5BFA" w:rsidRDefault="00737C66" w:rsidP="00737C66"/>
    <w:p w:rsidR="009F2132" w:rsidRDefault="009F2132">
      <w:bookmarkStart w:id="0" w:name="_GoBack"/>
      <w:bookmarkEnd w:id="0"/>
    </w:p>
    <w:sectPr w:rsidR="009F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66"/>
    <w:rsid w:val="00737C66"/>
    <w:rsid w:val="009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>ТИК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2018-04-01T07:00:00Z</dcterms:created>
  <dcterms:modified xsi:type="dcterms:W3CDTF">2018-04-01T07:01:00Z</dcterms:modified>
</cp:coreProperties>
</file>